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02C1E8B0" w:rsidR="00A24DA4" w:rsidRPr="00A177F8" w:rsidRDefault="00F77626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peine de mort par région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3FB2A912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9431B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6187">
        <w:rPr>
          <w:rFonts w:ascii="Book Antiqua" w:hAnsi="Book Antiqua" w:cs="Arial"/>
          <w:sz w:val="28"/>
          <w:szCs w:val="28"/>
          <w:lang w:val="fr-FR"/>
        </w:rPr>
        <w:t>Les États-Unis sont le seul pays de la région des Amériques qui continue à exécuter des condamnés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7078E2E7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93A2B">
        <w:rPr>
          <w:rFonts w:ascii="Book Antiqua" w:hAnsi="Book Antiqua" w:cs="Arial"/>
          <w:sz w:val="28"/>
          <w:szCs w:val="28"/>
          <w:lang w:val="fr-FR"/>
        </w:rPr>
        <w:t>Au</w:t>
      </w:r>
      <w:r w:rsidR="000F6187">
        <w:rPr>
          <w:rFonts w:ascii="Book Antiqua" w:hAnsi="Book Antiqua" w:cs="Arial"/>
          <w:sz w:val="28"/>
          <w:szCs w:val="28"/>
          <w:lang w:val="fr-FR"/>
        </w:rPr>
        <w:t xml:space="preserve"> Texas, on fait plus de 40% de</w:t>
      </w:r>
      <w:r w:rsidR="00193A2B">
        <w:rPr>
          <w:rFonts w:ascii="Book Antiqua" w:hAnsi="Book Antiqua" w:cs="Arial"/>
          <w:sz w:val="28"/>
          <w:szCs w:val="28"/>
          <w:lang w:val="fr-FR"/>
        </w:rPr>
        <w:t>s</w:t>
      </w:r>
      <w:r w:rsidR="000F6187">
        <w:rPr>
          <w:rFonts w:ascii="Book Antiqua" w:hAnsi="Book Antiqua" w:cs="Arial"/>
          <w:sz w:val="28"/>
          <w:szCs w:val="28"/>
          <w:lang w:val="fr-FR"/>
        </w:rPr>
        <w:t xml:space="preserve"> exécutions des États-Unis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1AC8EE40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6187">
        <w:rPr>
          <w:rFonts w:ascii="Book Antiqua" w:hAnsi="Book Antiqua" w:cs="Arial"/>
          <w:sz w:val="28"/>
          <w:szCs w:val="28"/>
          <w:lang w:val="fr-FR"/>
        </w:rPr>
        <w:t xml:space="preserve">Le nombre d’exécutions faites </w:t>
      </w:r>
      <w:r w:rsidR="00193A2B">
        <w:rPr>
          <w:rFonts w:ascii="Book Antiqua" w:hAnsi="Book Antiqua" w:cs="Arial"/>
          <w:sz w:val="28"/>
          <w:szCs w:val="28"/>
          <w:lang w:val="fr-FR"/>
        </w:rPr>
        <w:t>au</w:t>
      </w:r>
      <w:r w:rsidR="000F6187">
        <w:rPr>
          <w:rFonts w:ascii="Book Antiqua" w:hAnsi="Book Antiqua" w:cs="Arial"/>
          <w:sz w:val="28"/>
          <w:szCs w:val="28"/>
          <w:lang w:val="fr-FR"/>
        </w:rPr>
        <w:t xml:space="preserve"> Texas a diminué en 2019 par rapport au nombre d’exécutions faites en 2018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68A5A45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9431B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F6187">
        <w:rPr>
          <w:rFonts w:ascii="Book Antiqua" w:hAnsi="Book Antiqua" w:cs="Arial"/>
          <w:sz w:val="28"/>
          <w:szCs w:val="28"/>
          <w:lang w:val="fr-FR"/>
        </w:rPr>
        <w:t>Au Nebraska et à l’Ohio</w:t>
      </w:r>
      <w:r w:rsidR="00193A2B">
        <w:rPr>
          <w:rFonts w:ascii="Book Antiqua" w:hAnsi="Book Antiqua" w:cs="Arial"/>
          <w:sz w:val="28"/>
          <w:szCs w:val="28"/>
          <w:lang w:val="fr-FR"/>
        </w:rPr>
        <w:t>,</w:t>
      </w:r>
      <w:r w:rsidR="000F6187">
        <w:rPr>
          <w:rFonts w:ascii="Book Antiqua" w:hAnsi="Book Antiqua" w:cs="Arial"/>
          <w:sz w:val="28"/>
          <w:szCs w:val="28"/>
          <w:lang w:val="fr-FR"/>
        </w:rPr>
        <w:t xml:space="preserve"> on a fait quelques exécutions en 2019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359E7127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F6187">
        <w:rPr>
          <w:rFonts w:ascii="Book Antiqua" w:hAnsi="Book Antiqua" w:cs="Arial"/>
          <w:sz w:val="28"/>
          <w:szCs w:val="28"/>
          <w:lang w:val="fr-FR"/>
        </w:rPr>
        <w:t>Dans la législation de la Barbade</w:t>
      </w:r>
      <w:r w:rsidR="00193A2B">
        <w:rPr>
          <w:rFonts w:ascii="Book Antiqua" w:hAnsi="Book Antiqua" w:cs="Arial"/>
          <w:sz w:val="28"/>
          <w:szCs w:val="28"/>
          <w:lang w:val="fr-FR"/>
        </w:rPr>
        <w:t>,</w:t>
      </w:r>
      <w:r w:rsidR="000F6187">
        <w:rPr>
          <w:rFonts w:ascii="Book Antiqua" w:hAnsi="Book Antiqua" w:cs="Arial"/>
          <w:sz w:val="28"/>
          <w:szCs w:val="28"/>
          <w:lang w:val="fr-FR"/>
        </w:rPr>
        <w:t xml:space="preserve"> on a éliminé l’imposition obligatoire de la peine de mort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00BB2C81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9431B">
        <w:rPr>
          <w:rFonts w:ascii="Book Antiqua" w:hAnsi="Book Antiqua" w:cs="Arial"/>
          <w:sz w:val="28"/>
          <w:szCs w:val="28"/>
          <w:lang w:val="fr-FR"/>
        </w:rPr>
        <w:t>Le</w:t>
      </w:r>
      <w:r w:rsidR="000F6187">
        <w:rPr>
          <w:rFonts w:ascii="Book Antiqua" w:hAnsi="Book Antiqua" w:cs="Arial"/>
          <w:sz w:val="28"/>
          <w:szCs w:val="28"/>
          <w:lang w:val="fr-FR"/>
        </w:rPr>
        <w:t xml:space="preserve"> Guatemala, en plus d’autres pays, n’ont recensé aucune personne attendant une exécution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9AFC2C" w14:textId="77777777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E0A533F" w14:textId="77777777" w:rsidR="002767C6" w:rsidRDefault="002767C6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B2C933" w14:textId="77777777" w:rsidR="000F6187" w:rsidRPr="00D4309C" w:rsidRDefault="000F6187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90A682D" w14:textId="77777777" w:rsidR="00A3614E" w:rsidRDefault="00B55916" w:rsidP="00A3614E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44"/>
      <w:r w:rsidR="00A3614E" w:rsidRPr="00A3614E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4D288522" w14:textId="77777777" w:rsidR="002767C6" w:rsidRPr="00AC3DCD" w:rsidRDefault="002767C6" w:rsidP="002767C6">
      <w:pPr>
        <w:rPr>
          <w:rFonts w:ascii="Book Antiqua" w:hAnsi="Book Antiqua"/>
          <w:sz w:val="28"/>
          <w:szCs w:val="28"/>
          <w:lang w:val="fr-FR"/>
        </w:rPr>
      </w:pPr>
    </w:p>
    <w:p w14:paraId="3B8644D6" w14:textId="0C62E3CB" w:rsidR="00A3614E" w:rsidRPr="00D4309C" w:rsidRDefault="00A3614E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D965EE">
        <w:rPr>
          <w:rFonts w:ascii="Book Antiqua" w:hAnsi="Book Antiqua" w:cs="Arial"/>
          <w:sz w:val="28"/>
          <w:szCs w:val="28"/>
          <w:lang w:val="fr-FR"/>
        </w:rPr>
        <w:t>a région Asie-Pacifique</w:t>
      </w:r>
    </w:p>
    <w:p w14:paraId="3CE7B4F5" w14:textId="021BE052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965EE">
        <w:rPr>
          <w:rFonts w:ascii="Book Antiqua" w:hAnsi="Book Antiqua" w:cs="Arial"/>
          <w:sz w:val="28"/>
          <w:szCs w:val="28"/>
          <w:lang w:val="fr-FR"/>
        </w:rPr>
        <w:t>montre une augmentation considérable des condamnations à mort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15F824" w14:textId="36791CBE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965EE">
        <w:rPr>
          <w:rFonts w:ascii="Book Antiqua" w:hAnsi="Book Antiqua" w:cs="Arial"/>
          <w:sz w:val="28"/>
          <w:szCs w:val="28"/>
          <w:lang w:val="fr-FR"/>
        </w:rPr>
        <w:t>a enregistré une diminution de pays qui se servent de la peine de mort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05DD4E74" w14:textId="41FC88FE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965EE">
        <w:rPr>
          <w:rFonts w:ascii="Book Antiqua" w:hAnsi="Book Antiqua" w:cs="Arial"/>
          <w:sz w:val="28"/>
          <w:szCs w:val="28"/>
          <w:lang w:val="fr-FR"/>
        </w:rPr>
        <w:t xml:space="preserve"> n’a pas été considérée dans le rapport d’Amnesty International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21020283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3D700CA" w14:textId="1A67ACF4" w:rsidR="00A3614E" w:rsidRPr="00D4309C" w:rsidRDefault="00D965EE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Viêt-Nam</w:t>
      </w:r>
      <w:r w:rsidR="00193A2B">
        <w:rPr>
          <w:rFonts w:ascii="Book Antiqua" w:hAnsi="Book Antiqua" w:cs="Arial"/>
          <w:sz w:val="28"/>
          <w:szCs w:val="28"/>
          <w:lang w:val="fr-FR"/>
        </w:rPr>
        <w:t>,</w:t>
      </w:r>
    </w:p>
    <w:p w14:paraId="4CBBBB50" w14:textId="4DBEF2B1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34FEF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965EE">
        <w:rPr>
          <w:rFonts w:ascii="Book Antiqua" w:hAnsi="Book Antiqua" w:cs="Arial"/>
          <w:sz w:val="28"/>
          <w:szCs w:val="28"/>
          <w:lang w:val="fr-FR"/>
        </w:rPr>
        <w:t>le nombre d’exécutions a légèrement augmenté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590DCD3E" w14:textId="0140C94B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965EE">
        <w:rPr>
          <w:rFonts w:ascii="Book Antiqua" w:hAnsi="Book Antiqua" w:cs="Arial"/>
          <w:sz w:val="28"/>
          <w:szCs w:val="28"/>
          <w:lang w:val="fr-FR"/>
        </w:rPr>
        <w:t>la peine de mort est interdite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0187B3EC" w14:textId="06905B88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965EE">
        <w:rPr>
          <w:rFonts w:ascii="Book Antiqua" w:hAnsi="Book Antiqua" w:cs="Arial"/>
          <w:sz w:val="28"/>
          <w:szCs w:val="28"/>
          <w:lang w:val="fr-FR"/>
        </w:rPr>
        <w:t>le nombre d’exécutions a légèrement diminué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6BF868BD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AA44FD" w14:textId="1662C092" w:rsidR="00A3614E" w:rsidRPr="00D4309C" w:rsidRDefault="00D965EE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Japon et au Singapour</w:t>
      </w:r>
      <w:r w:rsidR="00193A2B">
        <w:rPr>
          <w:rFonts w:ascii="Book Antiqua" w:hAnsi="Book Antiqua" w:cs="Arial"/>
          <w:sz w:val="28"/>
          <w:szCs w:val="28"/>
          <w:lang w:val="fr-FR"/>
        </w:rPr>
        <w:t>,</w:t>
      </w:r>
    </w:p>
    <w:p w14:paraId="4F5138E7" w14:textId="767D021F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965EE">
        <w:rPr>
          <w:rFonts w:ascii="Book Antiqua" w:hAnsi="Book Antiqua" w:cs="Arial"/>
          <w:sz w:val="28"/>
          <w:szCs w:val="28"/>
          <w:lang w:val="fr-FR"/>
        </w:rPr>
        <w:t>on analyse la possibilité d’instaurer la peine de mort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7A00E436" w14:textId="6613F709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90195">
        <w:rPr>
          <w:rFonts w:ascii="Book Antiqua" w:hAnsi="Book Antiqua" w:cs="Arial"/>
          <w:sz w:val="28"/>
          <w:szCs w:val="28"/>
          <w:lang w:val="fr-FR"/>
        </w:rPr>
        <w:t>la quantité de condamnés reste stable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0F3FD3D9" w14:textId="44ED9790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965EE">
        <w:rPr>
          <w:rFonts w:ascii="Book Antiqua" w:hAnsi="Book Antiqua" w:cs="Arial"/>
          <w:sz w:val="28"/>
          <w:szCs w:val="28"/>
          <w:lang w:val="fr-FR"/>
        </w:rPr>
        <w:t>le nombre de condamnés a diminué d’une manière importante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4E0E0388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3CB419E" w14:textId="413C02FD" w:rsidR="00A3614E" w:rsidRPr="00D4309C" w:rsidRDefault="002767C6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façon d’agir de Bangladesh</w:t>
      </w:r>
    </w:p>
    <w:p w14:paraId="18E46D45" w14:textId="533C05C6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67C6">
        <w:rPr>
          <w:rFonts w:ascii="Book Antiqua" w:hAnsi="Book Antiqua" w:cs="Arial"/>
          <w:sz w:val="28"/>
          <w:szCs w:val="28"/>
          <w:lang w:val="fr-FR"/>
        </w:rPr>
        <w:t>est contraire à la façon d’agir d’Afghanistan et de Taiwan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0E40B3BB" w14:textId="65824FCB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C6609">
        <w:rPr>
          <w:rFonts w:ascii="Book Antiqua" w:hAnsi="Book Antiqua" w:cs="Arial"/>
          <w:sz w:val="28"/>
          <w:szCs w:val="28"/>
          <w:lang w:val="fr-FR"/>
        </w:rPr>
        <w:t xml:space="preserve">est </w:t>
      </w:r>
      <w:r w:rsidR="002767C6">
        <w:rPr>
          <w:rFonts w:ascii="Book Antiqua" w:hAnsi="Book Antiqua" w:cs="Arial"/>
          <w:sz w:val="28"/>
          <w:szCs w:val="28"/>
          <w:lang w:val="fr-FR"/>
        </w:rPr>
        <w:t>égale à la façon d’agir de</w:t>
      </w:r>
      <w:r w:rsidR="00193A2B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67C6">
        <w:rPr>
          <w:rFonts w:ascii="Book Antiqua" w:hAnsi="Book Antiqua" w:cs="Arial"/>
          <w:sz w:val="28"/>
          <w:szCs w:val="28"/>
          <w:lang w:val="fr-FR"/>
        </w:rPr>
        <w:t>Thaïlande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633BC13B" w14:textId="64A82F59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67C6">
        <w:rPr>
          <w:rFonts w:ascii="Book Antiqua" w:hAnsi="Book Antiqua" w:cs="Arial"/>
          <w:sz w:val="28"/>
          <w:szCs w:val="28"/>
          <w:lang w:val="fr-FR"/>
        </w:rPr>
        <w:t>montre clairement l’élimination de la peine de mort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1EAED26C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29B11D" w14:textId="40B64D67" w:rsidR="00A3614E" w:rsidRPr="00D4309C" w:rsidRDefault="002767C6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Pakistan</w:t>
      </w:r>
      <w:r w:rsidR="00193A2B">
        <w:rPr>
          <w:rFonts w:ascii="Book Antiqua" w:hAnsi="Book Antiqua" w:cs="Arial"/>
          <w:sz w:val="28"/>
          <w:szCs w:val="28"/>
          <w:lang w:val="fr-FR"/>
        </w:rPr>
        <w:t>,</w:t>
      </w:r>
    </w:p>
    <w:p w14:paraId="110FE47C" w14:textId="10F2A371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67C6">
        <w:rPr>
          <w:rFonts w:ascii="Book Antiqua" w:hAnsi="Book Antiqua" w:cs="Arial"/>
          <w:sz w:val="28"/>
          <w:szCs w:val="28"/>
          <w:lang w:val="fr-FR"/>
        </w:rPr>
        <w:t>la peine de mort a été abolie en 2019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29BD122F" w14:textId="5F3F2006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67C6">
        <w:rPr>
          <w:rFonts w:ascii="Book Antiqua" w:hAnsi="Book Antiqua" w:cs="Arial"/>
          <w:sz w:val="28"/>
          <w:szCs w:val="28"/>
          <w:lang w:val="fr-FR"/>
        </w:rPr>
        <w:t>la quantité d’exécutions a été la même que l’année précédente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556F6433" w14:textId="30D46416" w:rsidR="00A3614E" w:rsidRDefault="00A3614E" w:rsidP="002767C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67C6">
        <w:rPr>
          <w:rFonts w:ascii="Book Antiqua" w:hAnsi="Book Antiqua" w:cs="Arial"/>
          <w:sz w:val="28"/>
          <w:szCs w:val="28"/>
          <w:lang w:val="fr-FR"/>
        </w:rPr>
        <w:t>le nombre des condamnés à mort a augmenté d’une manière significative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0670EC66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9E8588F" w14:textId="63EF1C1C" w:rsidR="00734FEF" w:rsidRPr="00D4309C" w:rsidRDefault="002767C6" w:rsidP="002767C6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Selon les estimations d’Amnesty International, dans la région Asie-Pacifique, </w:t>
      </w:r>
    </w:p>
    <w:p w14:paraId="56FB09A1" w14:textId="15EFE985" w:rsidR="00734FEF" w:rsidRPr="00D4309C" w:rsidRDefault="00734FEF" w:rsidP="00734F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67C6">
        <w:rPr>
          <w:rFonts w:ascii="Book Antiqua" w:hAnsi="Book Antiqua" w:cs="Arial"/>
          <w:sz w:val="28"/>
          <w:szCs w:val="28"/>
          <w:lang w:val="fr-FR"/>
        </w:rPr>
        <w:t xml:space="preserve">les </w:t>
      </w:r>
      <w:r w:rsidR="003F34CE">
        <w:rPr>
          <w:rFonts w:ascii="Book Antiqua" w:hAnsi="Book Antiqua" w:cs="Arial"/>
          <w:sz w:val="28"/>
          <w:szCs w:val="28"/>
          <w:lang w:val="fr-FR"/>
        </w:rPr>
        <w:t>données</w:t>
      </w:r>
      <w:r w:rsidR="002767C6">
        <w:rPr>
          <w:rFonts w:ascii="Book Antiqua" w:hAnsi="Book Antiqua" w:cs="Arial"/>
          <w:sz w:val="28"/>
          <w:szCs w:val="28"/>
          <w:lang w:val="fr-FR"/>
        </w:rPr>
        <w:t xml:space="preserve"> de la Chine</w:t>
      </w:r>
      <w:r w:rsidR="003F34CE">
        <w:rPr>
          <w:rFonts w:ascii="Book Antiqua" w:hAnsi="Book Antiqua" w:cs="Arial"/>
          <w:sz w:val="28"/>
          <w:szCs w:val="28"/>
          <w:lang w:val="fr-FR"/>
        </w:rPr>
        <w:t xml:space="preserve"> ont été décisives</w:t>
      </w:r>
      <w:r w:rsidR="0032485B">
        <w:rPr>
          <w:rFonts w:ascii="Book Antiqua" w:hAnsi="Book Antiqua" w:cs="Arial"/>
          <w:sz w:val="28"/>
          <w:szCs w:val="28"/>
          <w:lang w:val="fr-FR"/>
        </w:rPr>
        <w:t>.</w:t>
      </w:r>
    </w:p>
    <w:p w14:paraId="77AD4C96" w14:textId="7C4BF70E" w:rsidR="00734FEF" w:rsidRPr="00D4309C" w:rsidRDefault="00734FEF" w:rsidP="00734F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F34CE">
        <w:rPr>
          <w:rFonts w:ascii="Book Antiqua" w:hAnsi="Book Antiqua" w:cs="Arial"/>
          <w:sz w:val="28"/>
          <w:szCs w:val="28"/>
          <w:lang w:val="fr-FR"/>
        </w:rPr>
        <w:t>il y a un maximum de 1227 condamnations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E60144C" w14:textId="00A76A39" w:rsidR="00734FEF" w:rsidRDefault="00734FEF" w:rsidP="00734FE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67C6">
        <w:rPr>
          <w:rFonts w:ascii="Book Antiqua" w:hAnsi="Book Antiqua" w:cs="Arial"/>
          <w:sz w:val="28"/>
          <w:szCs w:val="28"/>
          <w:lang w:val="fr-FR"/>
        </w:rPr>
        <w:t>il y a une augmentation d</w:t>
      </w:r>
      <w:r w:rsidR="00193A2B">
        <w:rPr>
          <w:rFonts w:ascii="Book Antiqua" w:hAnsi="Book Antiqua" w:cs="Arial"/>
          <w:sz w:val="28"/>
          <w:szCs w:val="28"/>
          <w:lang w:val="fr-FR"/>
        </w:rPr>
        <w:t>e</w:t>
      </w:r>
      <w:r w:rsidR="002767C6">
        <w:rPr>
          <w:rFonts w:ascii="Book Antiqua" w:hAnsi="Book Antiqua" w:cs="Arial"/>
          <w:sz w:val="28"/>
          <w:szCs w:val="28"/>
          <w:lang w:val="fr-FR"/>
        </w:rPr>
        <w:t xml:space="preserve"> 12% dans le nombre des condamnations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6D73A68" w14:textId="77777777" w:rsidR="00734FEF" w:rsidRDefault="00734FEF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951C71B" w14:textId="37D73040" w:rsidR="003F34CE" w:rsidRDefault="003F34C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562C763" w14:textId="77777777" w:rsidR="00AC3DCD" w:rsidRPr="00D4309C" w:rsidRDefault="00AC3DCD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12622EC2" w:rsidR="008E4BFA" w:rsidRDefault="000078D4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D02B01">
        <w:rPr>
          <w:rFonts w:ascii="Book Antiqua" w:hAnsi="Book Antiqua"/>
          <w:b/>
          <w:color w:val="auto"/>
          <w:sz w:val="28"/>
          <w:szCs w:val="28"/>
          <w:lang w:val="fr-FR"/>
        </w:rPr>
        <w:t>informations associées à la quantité d’exécutions faites en 2019 par rapport au 2018</w:t>
      </w:r>
      <w:r w:rsidR="00604F75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6A78DE64" w14:textId="77777777" w:rsidR="00983EEA" w:rsidRPr="00AC3DCD" w:rsidRDefault="00983EEA" w:rsidP="00983EEA">
      <w:pPr>
        <w:rPr>
          <w:rFonts w:ascii="Book Antiqua" w:hAnsi="Book Antiqua"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992"/>
        <w:gridCol w:w="992"/>
        <w:gridCol w:w="883"/>
        <w:gridCol w:w="12"/>
      </w:tblGrid>
      <w:tr w:rsidR="00D02B01" w:rsidRPr="00AC3DCD" w14:paraId="14202666" w14:textId="0F91C2F5" w:rsidTr="00D02B01">
        <w:trPr>
          <w:gridAfter w:val="1"/>
          <w:wAfter w:w="12" w:type="dxa"/>
          <w:cantSplit/>
          <w:trHeight w:val="3557"/>
          <w:jc w:val="center"/>
        </w:trPr>
        <w:tc>
          <w:tcPr>
            <w:tcW w:w="7083" w:type="dxa"/>
          </w:tcPr>
          <w:p w14:paraId="525386F9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  <w:textDirection w:val="btLr"/>
          </w:tcPr>
          <w:p w14:paraId="696DE4BB" w14:textId="387474CA" w:rsidR="00D02B01" w:rsidRPr="00D4309C" w:rsidRDefault="00D02B01" w:rsidP="00D02B01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La quantité d</w:t>
            </w:r>
            <w:r w:rsidR="008C697E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’</w:t>
            </w: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exécutions a diminué</w:t>
            </w:r>
          </w:p>
        </w:tc>
        <w:tc>
          <w:tcPr>
            <w:tcW w:w="992" w:type="dxa"/>
            <w:textDirection w:val="btLr"/>
          </w:tcPr>
          <w:p w14:paraId="787DD601" w14:textId="0832036E" w:rsidR="00D02B01" w:rsidRPr="00D4309C" w:rsidRDefault="00D02B01" w:rsidP="00D02B01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La quantité d’exécutions reste stable</w:t>
            </w:r>
          </w:p>
        </w:tc>
        <w:tc>
          <w:tcPr>
            <w:tcW w:w="883" w:type="dxa"/>
            <w:textDirection w:val="btLr"/>
          </w:tcPr>
          <w:p w14:paraId="65F0F99C" w14:textId="2B94FE64" w:rsidR="00D02B01" w:rsidRDefault="00D02B01" w:rsidP="00D02B01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La quantité d’exécutions a augmenté</w:t>
            </w:r>
          </w:p>
        </w:tc>
      </w:tr>
      <w:tr w:rsidR="00D02B01" w:rsidRPr="00270B1C" w14:paraId="0C01C9B7" w14:textId="77777777" w:rsidTr="00D02B01">
        <w:trPr>
          <w:trHeight w:val="534"/>
          <w:jc w:val="center"/>
        </w:trPr>
        <w:tc>
          <w:tcPr>
            <w:tcW w:w="7083" w:type="dxa"/>
          </w:tcPr>
          <w:p w14:paraId="4A095BAA" w14:textId="7E8D8CF4" w:rsidR="00D02B01" w:rsidRPr="00D4309C" w:rsidRDefault="00DD7539" w:rsidP="00893050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Le </w:t>
            </w:r>
            <w:r w:rsidR="00D02B01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Bélarus </w:t>
            </w:r>
          </w:p>
        </w:tc>
        <w:tc>
          <w:tcPr>
            <w:tcW w:w="992" w:type="dxa"/>
          </w:tcPr>
          <w:p w14:paraId="640E65F7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10FC659E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95" w:type="dxa"/>
            <w:gridSpan w:val="2"/>
          </w:tcPr>
          <w:p w14:paraId="176AB370" w14:textId="68A4AFE2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02B01" w:rsidRPr="00F77626" w14:paraId="1B6E1AEC" w14:textId="77777777" w:rsidTr="00D02B01">
        <w:trPr>
          <w:trHeight w:val="517"/>
          <w:jc w:val="center"/>
        </w:trPr>
        <w:tc>
          <w:tcPr>
            <w:tcW w:w="7083" w:type="dxa"/>
          </w:tcPr>
          <w:p w14:paraId="3BA4384A" w14:textId="45DB4C05" w:rsidR="00D02B01" w:rsidRPr="00D4309C" w:rsidRDefault="00D02B01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 Fédération de Russie</w:t>
            </w:r>
          </w:p>
        </w:tc>
        <w:tc>
          <w:tcPr>
            <w:tcW w:w="992" w:type="dxa"/>
          </w:tcPr>
          <w:p w14:paraId="26103B50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67F9922C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95" w:type="dxa"/>
            <w:gridSpan w:val="2"/>
          </w:tcPr>
          <w:p w14:paraId="57C02A07" w14:textId="3DD3232F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02B01" w:rsidRPr="00B55916" w14:paraId="36851936" w14:textId="77777777" w:rsidTr="00D02B01">
        <w:trPr>
          <w:trHeight w:val="534"/>
          <w:jc w:val="center"/>
        </w:trPr>
        <w:tc>
          <w:tcPr>
            <w:tcW w:w="7083" w:type="dxa"/>
          </w:tcPr>
          <w:p w14:paraId="6A0B85AF" w14:textId="6BB2A78E" w:rsidR="00D02B01" w:rsidRPr="00D4309C" w:rsidRDefault="00DD7539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L’Afrique du Nord</w:t>
            </w:r>
          </w:p>
        </w:tc>
        <w:tc>
          <w:tcPr>
            <w:tcW w:w="992" w:type="dxa"/>
          </w:tcPr>
          <w:p w14:paraId="57147306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26BFF3D1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95" w:type="dxa"/>
            <w:gridSpan w:val="2"/>
          </w:tcPr>
          <w:p w14:paraId="468D8EF6" w14:textId="6C69827D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02B01" w:rsidRPr="00DD7539" w14:paraId="343465AA" w14:textId="77777777" w:rsidTr="00D02B01">
        <w:trPr>
          <w:trHeight w:val="527"/>
          <w:jc w:val="center"/>
        </w:trPr>
        <w:tc>
          <w:tcPr>
            <w:tcW w:w="7083" w:type="dxa"/>
          </w:tcPr>
          <w:p w14:paraId="2B24FC31" w14:textId="31CB7202" w:rsidR="00D02B01" w:rsidRPr="00D4309C" w:rsidRDefault="00DD7539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L’Irak et l’Arabie Saoudite</w:t>
            </w:r>
          </w:p>
        </w:tc>
        <w:tc>
          <w:tcPr>
            <w:tcW w:w="992" w:type="dxa"/>
          </w:tcPr>
          <w:p w14:paraId="44EBB9E5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756D40A3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95" w:type="dxa"/>
            <w:gridSpan w:val="2"/>
          </w:tcPr>
          <w:p w14:paraId="224754B8" w14:textId="2CF95CE3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02B01" w:rsidRPr="00F77626" w14:paraId="362E86AD" w14:textId="77777777" w:rsidTr="00D02B01">
        <w:trPr>
          <w:trHeight w:val="534"/>
          <w:jc w:val="center"/>
        </w:trPr>
        <w:tc>
          <w:tcPr>
            <w:tcW w:w="7083" w:type="dxa"/>
          </w:tcPr>
          <w:p w14:paraId="592D0D23" w14:textId="2C2ABC7B" w:rsidR="00D02B01" w:rsidRPr="00D4309C" w:rsidRDefault="00DD7539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L’Egypte</w:t>
            </w:r>
          </w:p>
        </w:tc>
        <w:tc>
          <w:tcPr>
            <w:tcW w:w="992" w:type="dxa"/>
          </w:tcPr>
          <w:p w14:paraId="305DE483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1D361E4C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95" w:type="dxa"/>
            <w:gridSpan w:val="2"/>
          </w:tcPr>
          <w:p w14:paraId="1D14458A" w14:textId="7B5594B0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02B01" w:rsidRPr="00F77626" w14:paraId="22087995" w14:textId="77777777" w:rsidTr="00D02B01">
        <w:trPr>
          <w:trHeight w:val="517"/>
          <w:jc w:val="center"/>
        </w:trPr>
        <w:tc>
          <w:tcPr>
            <w:tcW w:w="7083" w:type="dxa"/>
          </w:tcPr>
          <w:p w14:paraId="31F15DFC" w14:textId="6B88C7B6" w:rsidR="00D02B01" w:rsidRPr="00D4309C" w:rsidRDefault="00DD7539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 Soudan du Sud</w:t>
            </w:r>
          </w:p>
        </w:tc>
        <w:tc>
          <w:tcPr>
            <w:tcW w:w="992" w:type="dxa"/>
          </w:tcPr>
          <w:p w14:paraId="13AF5CCC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4F701D8A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95" w:type="dxa"/>
            <w:gridSpan w:val="2"/>
          </w:tcPr>
          <w:p w14:paraId="4987C631" w14:textId="403514EA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02B01" w:rsidRPr="00F77626" w14:paraId="19F8BB6D" w14:textId="77777777" w:rsidTr="00D02B01">
        <w:trPr>
          <w:trHeight w:val="517"/>
          <w:jc w:val="center"/>
        </w:trPr>
        <w:tc>
          <w:tcPr>
            <w:tcW w:w="7083" w:type="dxa"/>
          </w:tcPr>
          <w:p w14:paraId="1BFE7D0C" w14:textId="064C311E" w:rsidR="00D02B01" w:rsidRDefault="00DD7539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L’Afrique subsaharienne</w:t>
            </w:r>
          </w:p>
        </w:tc>
        <w:tc>
          <w:tcPr>
            <w:tcW w:w="992" w:type="dxa"/>
          </w:tcPr>
          <w:p w14:paraId="0D0FFA4C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992" w:type="dxa"/>
          </w:tcPr>
          <w:p w14:paraId="36DCFD83" w14:textId="77777777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95" w:type="dxa"/>
            <w:gridSpan w:val="2"/>
          </w:tcPr>
          <w:p w14:paraId="3901ED48" w14:textId="1B2A0A61" w:rsidR="00D02B01" w:rsidRPr="00D4309C" w:rsidRDefault="00D02B0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73E9" w14:textId="77777777" w:rsidR="00B9197D" w:rsidRDefault="00B9197D" w:rsidP="00640FB7">
      <w:r>
        <w:separator/>
      </w:r>
    </w:p>
  </w:endnote>
  <w:endnote w:type="continuationSeparator" w:id="0">
    <w:p w14:paraId="3846DC5A" w14:textId="77777777" w:rsidR="00B9197D" w:rsidRDefault="00B9197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67D7610B" w:rsidR="00640FB7" w:rsidRDefault="005E7908" w:rsidP="005E7908">
    <w:pPr>
      <w:pStyle w:val="Footer"/>
      <w:jc w:val="center"/>
    </w:pPr>
    <w:r>
      <w:t xml:space="preserve">                                            </w:t>
    </w:r>
    <w:r w:rsidR="00270B1C">
      <w:t xml:space="preserve">                           R. Salg</w:t>
    </w:r>
    <w:r>
      <w:t>a</w:t>
    </w:r>
    <w:r w:rsidR="00270B1C">
      <w:t xml:space="preserve">do </w:t>
    </w:r>
    <w:r w:rsidR="00640FB7">
      <w:t>-</w:t>
    </w:r>
    <w:r w:rsidR="00270B1C">
      <w:t xml:space="preserve"> 202</w:t>
    </w:r>
    <w:r w:rsidR="000F6187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45ED" w14:textId="77777777" w:rsidR="00B9197D" w:rsidRDefault="00B9197D" w:rsidP="00640FB7">
      <w:r>
        <w:separator/>
      </w:r>
    </w:p>
  </w:footnote>
  <w:footnote w:type="continuationSeparator" w:id="0">
    <w:p w14:paraId="5A5A7204" w14:textId="77777777" w:rsidR="00B9197D" w:rsidRDefault="00B9197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8pt;height:10.8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499700">
    <w:abstractNumId w:val="15"/>
  </w:num>
  <w:num w:numId="2" w16cid:durableId="816145910">
    <w:abstractNumId w:val="10"/>
  </w:num>
  <w:num w:numId="3" w16cid:durableId="1334990106">
    <w:abstractNumId w:val="4"/>
  </w:num>
  <w:num w:numId="4" w16cid:durableId="1720935854">
    <w:abstractNumId w:val="1"/>
  </w:num>
  <w:num w:numId="5" w16cid:durableId="1256745098">
    <w:abstractNumId w:val="19"/>
  </w:num>
  <w:num w:numId="6" w16cid:durableId="1867988043">
    <w:abstractNumId w:val="7"/>
  </w:num>
  <w:num w:numId="7" w16cid:durableId="901717205">
    <w:abstractNumId w:val="8"/>
  </w:num>
  <w:num w:numId="8" w16cid:durableId="50467196">
    <w:abstractNumId w:val="11"/>
  </w:num>
  <w:num w:numId="9" w16cid:durableId="1690712480">
    <w:abstractNumId w:val="13"/>
  </w:num>
  <w:num w:numId="10" w16cid:durableId="576939974">
    <w:abstractNumId w:val="20"/>
  </w:num>
  <w:num w:numId="11" w16cid:durableId="757869897">
    <w:abstractNumId w:val="18"/>
  </w:num>
  <w:num w:numId="12" w16cid:durableId="366684128">
    <w:abstractNumId w:val="22"/>
  </w:num>
  <w:num w:numId="13" w16cid:durableId="2006205479">
    <w:abstractNumId w:val="5"/>
  </w:num>
  <w:num w:numId="14" w16cid:durableId="784346388">
    <w:abstractNumId w:val="17"/>
  </w:num>
  <w:num w:numId="15" w16cid:durableId="646320256">
    <w:abstractNumId w:val="16"/>
  </w:num>
  <w:num w:numId="16" w16cid:durableId="10184688">
    <w:abstractNumId w:val="2"/>
  </w:num>
  <w:num w:numId="17" w16cid:durableId="238559671">
    <w:abstractNumId w:val="12"/>
  </w:num>
  <w:num w:numId="18" w16cid:durableId="17900105">
    <w:abstractNumId w:val="3"/>
  </w:num>
  <w:num w:numId="19" w16cid:durableId="743576238">
    <w:abstractNumId w:val="21"/>
  </w:num>
  <w:num w:numId="20" w16cid:durableId="2057007647">
    <w:abstractNumId w:val="9"/>
  </w:num>
  <w:num w:numId="21" w16cid:durableId="1035888629">
    <w:abstractNumId w:val="6"/>
  </w:num>
  <w:num w:numId="22" w16cid:durableId="1442992081">
    <w:abstractNumId w:val="0"/>
  </w:num>
  <w:num w:numId="23" w16cid:durableId="21439640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44560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078D4"/>
    <w:rsid w:val="00021C71"/>
    <w:rsid w:val="000706B2"/>
    <w:rsid w:val="000A789C"/>
    <w:rsid w:val="000C3C0B"/>
    <w:rsid w:val="000C6FB3"/>
    <w:rsid w:val="000D3BAB"/>
    <w:rsid w:val="000E4295"/>
    <w:rsid w:val="000F294E"/>
    <w:rsid w:val="000F6187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93A2B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0B1C"/>
    <w:rsid w:val="00272666"/>
    <w:rsid w:val="002767C6"/>
    <w:rsid w:val="002A652A"/>
    <w:rsid w:val="002B2094"/>
    <w:rsid w:val="002D09E4"/>
    <w:rsid w:val="002E32A5"/>
    <w:rsid w:val="0032485B"/>
    <w:rsid w:val="00362DC0"/>
    <w:rsid w:val="00365D3A"/>
    <w:rsid w:val="00374409"/>
    <w:rsid w:val="003A3573"/>
    <w:rsid w:val="003A6127"/>
    <w:rsid w:val="003A7755"/>
    <w:rsid w:val="003D6815"/>
    <w:rsid w:val="003E11AC"/>
    <w:rsid w:val="003E1F28"/>
    <w:rsid w:val="003F34CE"/>
    <w:rsid w:val="00404C44"/>
    <w:rsid w:val="0044528F"/>
    <w:rsid w:val="004521A1"/>
    <w:rsid w:val="00452464"/>
    <w:rsid w:val="00471823"/>
    <w:rsid w:val="00487F11"/>
    <w:rsid w:val="00490195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04F75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6F3E15"/>
    <w:rsid w:val="00702DDB"/>
    <w:rsid w:val="0070771C"/>
    <w:rsid w:val="00710730"/>
    <w:rsid w:val="00734FEF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93050"/>
    <w:rsid w:val="0089431B"/>
    <w:rsid w:val="008A55F8"/>
    <w:rsid w:val="008B14B6"/>
    <w:rsid w:val="008C47DE"/>
    <w:rsid w:val="008C697E"/>
    <w:rsid w:val="008E4BFA"/>
    <w:rsid w:val="008E69CA"/>
    <w:rsid w:val="008F3687"/>
    <w:rsid w:val="00915076"/>
    <w:rsid w:val="00946067"/>
    <w:rsid w:val="00951CB6"/>
    <w:rsid w:val="00971364"/>
    <w:rsid w:val="00975C5B"/>
    <w:rsid w:val="009761CE"/>
    <w:rsid w:val="00983EEA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3614E"/>
    <w:rsid w:val="00A55021"/>
    <w:rsid w:val="00A55795"/>
    <w:rsid w:val="00A824CA"/>
    <w:rsid w:val="00AA1ACD"/>
    <w:rsid w:val="00AC3DCD"/>
    <w:rsid w:val="00B0609C"/>
    <w:rsid w:val="00B13562"/>
    <w:rsid w:val="00B3209B"/>
    <w:rsid w:val="00B41097"/>
    <w:rsid w:val="00B53036"/>
    <w:rsid w:val="00B557B8"/>
    <w:rsid w:val="00B55916"/>
    <w:rsid w:val="00B67E86"/>
    <w:rsid w:val="00B9197D"/>
    <w:rsid w:val="00B9239D"/>
    <w:rsid w:val="00B97256"/>
    <w:rsid w:val="00BA490E"/>
    <w:rsid w:val="00BC0C3C"/>
    <w:rsid w:val="00BC6609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02B01"/>
    <w:rsid w:val="00D154AD"/>
    <w:rsid w:val="00D2376C"/>
    <w:rsid w:val="00D25215"/>
    <w:rsid w:val="00D6064E"/>
    <w:rsid w:val="00D95328"/>
    <w:rsid w:val="00D965EE"/>
    <w:rsid w:val="00DC6645"/>
    <w:rsid w:val="00DD2D35"/>
    <w:rsid w:val="00DD7539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77626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1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363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11</cp:revision>
  <dcterms:created xsi:type="dcterms:W3CDTF">2022-08-28T02:17:00Z</dcterms:created>
  <dcterms:modified xsi:type="dcterms:W3CDTF">2022-12-26T23:24:00Z</dcterms:modified>
</cp:coreProperties>
</file>