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75B15DAC" w:rsidR="00A24DA4" w:rsidRPr="00A177F8" w:rsidRDefault="00A35C71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 statut de l’outre-mer français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1C935B82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9D578C">
        <w:rPr>
          <w:rFonts w:ascii="Book Antiqua" w:hAnsi="Book Antiqua"/>
          <w:b/>
          <w:color w:val="auto"/>
          <w:sz w:val="28"/>
          <w:szCs w:val="28"/>
          <w:lang w:val="fr-FR"/>
        </w:rPr>
        <w:t>Associez les événements à l’année dans l</w:t>
      </w:r>
      <w:r w:rsidR="00650BAD">
        <w:rPr>
          <w:rFonts w:ascii="Book Antiqua" w:hAnsi="Book Antiqua"/>
          <w:b/>
          <w:color w:val="auto"/>
          <w:sz w:val="28"/>
          <w:szCs w:val="28"/>
          <w:lang w:val="fr-FR"/>
        </w:rPr>
        <w:t>a</w:t>
      </w:r>
      <w:r w:rsidR="009D578C">
        <w:rPr>
          <w:rFonts w:ascii="Book Antiqua" w:hAnsi="Book Antiqua"/>
          <w:b/>
          <w:color w:val="auto"/>
          <w:sz w:val="28"/>
          <w:szCs w:val="28"/>
          <w:lang w:val="fr-FR"/>
        </w:rPr>
        <w:t>quel</w:t>
      </w:r>
      <w:r w:rsidR="00650BAD">
        <w:rPr>
          <w:rFonts w:ascii="Book Antiqua" w:hAnsi="Book Antiqua"/>
          <w:b/>
          <w:color w:val="auto"/>
          <w:sz w:val="28"/>
          <w:szCs w:val="28"/>
          <w:lang w:val="fr-FR"/>
        </w:rPr>
        <w:t>le</w:t>
      </w:r>
      <w:r w:rsidR="009D578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ils se sont produits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41B8EC7A" w14:textId="77777777" w:rsidR="00121352" w:rsidRPr="00121352" w:rsidRDefault="00121352" w:rsidP="00121352">
      <w:pPr>
        <w:rPr>
          <w:lang w:val="fr-FR"/>
        </w:rPr>
      </w:pPr>
    </w:p>
    <w:p w14:paraId="72ADD0B0" w14:textId="77777777" w:rsidR="009D578C" w:rsidRPr="009D578C" w:rsidRDefault="009D578C" w:rsidP="009D578C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776"/>
        <w:gridCol w:w="5814"/>
      </w:tblGrid>
      <w:tr w:rsidR="009D578C" w:rsidRPr="009D578C" w14:paraId="50AD8DA4" w14:textId="77777777" w:rsidTr="00D75CFD">
        <w:trPr>
          <w:jc w:val="center"/>
        </w:trPr>
        <w:tc>
          <w:tcPr>
            <w:tcW w:w="0" w:type="auto"/>
            <w:shd w:val="clear" w:color="auto" w:fill="auto"/>
          </w:tcPr>
          <w:p w14:paraId="5C49BD0E" w14:textId="5104946E" w:rsidR="009D578C" w:rsidRPr="00D4309C" w:rsidRDefault="009D578C" w:rsidP="009D578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1985</w:t>
            </w:r>
          </w:p>
        </w:tc>
        <w:tc>
          <w:tcPr>
            <w:tcW w:w="0" w:type="auto"/>
            <w:shd w:val="clear" w:color="auto" w:fill="auto"/>
          </w:tcPr>
          <w:p w14:paraId="13E6B421" w14:textId="77777777" w:rsidR="009D578C" w:rsidRPr="00D4309C" w:rsidRDefault="009D578C" w:rsidP="00D75C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shd w:val="clear" w:color="auto" w:fill="auto"/>
          </w:tcPr>
          <w:p w14:paraId="14991B00" w14:textId="1DF4D943" w:rsidR="009D578C" w:rsidRPr="00D4309C" w:rsidRDefault="009D578C" w:rsidP="009D578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existence des DOM et TOM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9D578C" w:rsidRPr="009D578C" w14:paraId="25584448" w14:textId="77777777" w:rsidTr="00D75CFD">
        <w:trPr>
          <w:jc w:val="center"/>
        </w:trPr>
        <w:tc>
          <w:tcPr>
            <w:tcW w:w="0" w:type="auto"/>
            <w:shd w:val="clear" w:color="auto" w:fill="auto"/>
          </w:tcPr>
          <w:p w14:paraId="2D1FA0B9" w14:textId="265193CD" w:rsidR="009D578C" w:rsidRPr="00D4309C" w:rsidRDefault="009D578C" w:rsidP="009D578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1958</w:t>
            </w:r>
          </w:p>
        </w:tc>
        <w:tc>
          <w:tcPr>
            <w:tcW w:w="0" w:type="auto"/>
            <w:shd w:val="clear" w:color="auto" w:fill="auto"/>
          </w:tcPr>
          <w:p w14:paraId="3165B25F" w14:textId="77777777" w:rsidR="009D578C" w:rsidRPr="00D4309C" w:rsidRDefault="009D578C" w:rsidP="00D75C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2578C632" w14:textId="454D1DB8" w:rsidR="009D578C" w:rsidRPr="00D4309C" w:rsidRDefault="009D578C" w:rsidP="009D578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statut différencié pour quelques DOM</w:t>
            </w:r>
          </w:p>
        </w:tc>
      </w:tr>
      <w:tr w:rsidR="009D578C" w:rsidRPr="00D4309C" w14:paraId="61BC8307" w14:textId="77777777" w:rsidTr="00D75CFD">
        <w:trPr>
          <w:jc w:val="center"/>
        </w:trPr>
        <w:tc>
          <w:tcPr>
            <w:tcW w:w="0" w:type="auto"/>
            <w:shd w:val="clear" w:color="auto" w:fill="auto"/>
          </w:tcPr>
          <w:p w14:paraId="46404902" w14:textId="391141DC" w:rsidR="009D578C" w:rsidRPr="00D4309C" w:rsidRDefault="009D578C" w:rsidP="009D578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14:paraId="2B3DBD2D" w14:textId="77777777" w:rsidR="009D578C" w:rsidRPr="00D4309C" w:rsidRDefault="009D578C" w:rsidP="00D75C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7A8F2CF4" w14:textId="71074C72" w:rsidR="009D578C" w:rsidRPr="00D4309C" w:rsidRDefault="009D578C" w:rsidP="009D578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statut particulier de Mayotte</w:t>
            </w:r>
          </w:p>
        </w:tc>
      </w:tr>
      <w:tr w:rsidR="009D578C" w:rsidRPr="009D578C" w14:paraId="06A51C99" w14:textId="77777777" w:rsidTr="00D75CFD">
        <w:trPr>
          <w:jc w:val="center"/>
        </w:trPr>
        <w:tc>
          <w:tcPr>
            <w:tcW w:w="0" w:type="auto"/>
            <w:shd w:val="clear" w:color="auto" w:fill="auto"/>
          </w:tcPr>
          <w:p w14:paraId="762BE6C0" w14:textId="4509E988" w:rsidR="009D578C" w:rsidRPr="00D4309C" w:rsidRDefault="009D578C" w:rsidP="009D578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 années 70</w:t>
            </w:r>
          </w:p>
        </w:tc>
        <w:tc>
          <w:tcPr>
            <w:tcW w:w="0" w:type="auto"/>
            <w:shd w:val="clear" w:color="auto" w:fill="auto"/>
          </w:tcPr>
          <w:p w14:paraId="0D405A06" w14:textId="77777777" w:rsidR="009D578C" w:rsidRPr="00D4309C" w:rsidRDefault="009D578C" w:rsidP="00D75C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78CA5ED5" w14:textId="4082BD88" w:rsidR="009D578C" w:rsidRPr="00D4309C" w:rsidRDefault="009D578C" w:rsidP="00D75CF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4) statut particulier de la Nouvelle-Calédonie</w:t>
            </w:r>
          </w:p>
        </w:tc>
      </w:tr>
      <w:tr w:rsidR="009D578C" w:rsidRPr="00D4309C" w14:paraId="2A9FFDB4" w14:textId="77777777" w:rsidTr="00D75CFD">
        <w:trPr>
          <w:jc w:val="center"/>
        </w:trPr>
        <w:tc>
          <w:tcPr>
            <w:tcW w:w="0" w:type="auto"/>
            <w:shd w:val="clear" w:color="auto" w:fill="auto"/>
          </w:tcPr>
          <w:p w14:paraId="17FB7D16" w14:textId="413EE7FE" w:rsidR="009D578C" w:rsidRPr="00D4309C" w:rsidRDefault="009D578C" w:rsidP="009D578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1976</w:t>
            </w:r>
          </w:p>
        </w:tc>
        <w:tc>
          <w:tcPr>
            <w:tcW w:w="0" w:type="auto"/>
            <w:shd w:val="clear" w:color="auto" w:fill="auto"/>
          </w:tcPr>
          <w:p w14:paraId="25FA6ACB" w14:textId="77777777" w:rsidR="009D578C" w:rsidRPr="00D4309C" w:rsidRDefault="009D578C" w:rsidP="00D75C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12DFB142" w14:textId="6AA6776B" w:rsidR="009D578C" w:rsidRPr="00D4309C" w:rsidRDefault="009D578C" w:rsidP="009D578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dénomination DOM-TOM</w:t>
            </w:r>
          </w:p>
        </w:tc>
      </w:tr>
      <w:tr w:rsidR="009D578C" w:rsidRPr="009D578C" w14:paraId="240400C1" w14:textId="77777777" w:rsidTr="00D75CFD">
        <w:trPr>
          <w:jc w:val="center"/>
        </w:trPr>
        <w:tc>
          <w:tcPr>
            <w:tcW w:w="0" w:type="auto"/>
            <w:shd w:val="clear" w:color="auto" w:fill="auto"/>
          </w:tcPr>
          <w:p w14:paraId="56D4BC3B" w14:textId="0C5AAC51" w:rsidR="009D578C" w:rsidRPr="00D4309C" w:rsidRDefault="009D578C" w:rsidP="009D578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1946</w:t>
            </w:r>
          </w:p>
        </w:tc>
        <w:tc>
          <w:tcPr>
            <w:tcW w:w="0" w:type="auto"/>
            <w:shd w:val="clear" w:color="auto" w:fill="auto"/>
          </w:tcPr>
          <w:p w14:paraId="3A45F51B" w14:textId="77777777" w:rsidR="009D578C" w:rsidRPr="00D4309C" w:rsidRDefault="009D578C" w:rsidP="00D75C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28D8E633" w14:textId="013C7C1F" w:rsidR="009D578C" w:rsidRPr="00D4309C" w:rsidRDefault="009D578C" w:rsidP="009D578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classification tendant vers le minimalisme</w:t>
            </w:r>
          </w:p>
        </w:tc>
      </w:tr>
    </w:tbl>
    <w:p w14:paraId="489DB7DE" w14:textId="77777777" w:rsidR="009D578C" w:rsidRPr="00D4309C" w:rsidRDefault="009D578C" w:rsidP="009D578C">
      <w:pPr>
        <w:rPr>
          <w:rFonts w:ascii="Book Antiqua" w:hAnsi="Book Antiqua" w:cs="Arial"/>
          <w:sz w:val="28"/>
          <w:szCs w:val="28"/>
          <w:lang w:val="fr-FR"/>
        </w:rPr>
      </w:pPr>
    </w:p>
    <w:p w14:paraId="65A38BA0" w14:textId="77777777" w:rsidR="009D578C" w:rsidRDefault="009D578C" w:rsidP="009D578C">
      <w:pPr>
        <w:rPr>
          <w:rFonts w:ascii="Book Antiqua" w:hAnsi="Book Antiqua" w:cs="Arial"/>
          <w:sz w:val="28"/>
          <w:szCs w:val="28"/>
          <w:lang w:val="fr-FR"/>
        </w:rPr>
      </w:pPr>
    </w:p>
    <w:p w14:paraId="6E54E6B3" w14:textId="77777777" w:rsidR="00121352" w:rsidRPr="00D4309C" w:rsidRDefault="00121352" w:rsidP="009D578C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61"/>
        <w:gridCol w:w="1663"/>
        <w:gridCol w:w="1648"/>
        <w:gridCol w:w="1664"/>
        <w:gridCol w:w="1662"/>
      </w:tblGrid>
      <w:tr w:rsidR="009D578C" w:rsidRPr="00D4309C" w14:paraId="6D74B8E0" w14:textId="77777777" w:rsidTr="009D578C">
        <w:trPr>
          <w:jc w:val="center"/>
        </w:trPr>
        <w:tc>
          <w:tcPr>
            <w:tcW w:w="1664" w:type="dxa"/>
            <w:shd w:val="clear" w:color="auto" w:fill="auto"/>
          </w:tcPr>
          <w:p w14:paraId="4E305A02" w14:textId="77777777" w:rsidR="009D578C" w:rsidRPr="00D4309C" w:rsidRDefault="009D578C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661" w:type="dxa"/>
            <w:shd w:val="clear" w:color="auto" w:fill="auto"/>
          </w:tcPr>
          <w:p w14:paraId="2FF9D33F" w14:textId="77777777" w:rsidR="009D578C" w:rsidRPr="00D4309C" w:rsidRDefault="009D578C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663" w:type="dxa"/>
            <w:shd w:val="clear" w:color="auto" w:fill="auto"/>
          </w:tcPr>
          <w:p w14:paraId="1E29ED88" w14:textId="77777777" w:rsidR="009D578C" w:rsidRPr="00D4309C" w:rsidRDefault="009D578C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648" w:type="dxa"/>
          </w:tcPr>
          <w:p w14:paraId="7B75719A" w14:textId="3417C46D" w:rsidR="009D578C" w:rsidRPr="00D4309C" w:rsidRDefault="009D578C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664" w:type="dxa"/>
            <w:shd w:val="clear" w:color="auto" w:fill="auto"/>
          </w:tcPr>
          <w:p w14:paraId="498A457C" w14:textId="77735857" w:rsidR="009D578C" w:rsidRPr="00D4309C" w:rsidRDefault="009D578C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662" w:type="dxa"/>
            <w:shd w:val="clear" w:color="auto" w:fill="auto"/>
          </w:tcPr>
          <w:p w14:paraId="58988009" w14:textId="6948C1E9" w:rsidR="009D578C" w:rsidRPr="00D4309C" w:rsidRDefault="009D578C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</w:tr>
      <w:tr w:rsidR="009D578C" w:rsidRPr="00884D03" w14:paraId="1729E93F" w14:textId="77777777" w:rsidTr="009D578C">
        <w:trPr>
          <w:jc w:val="center"/>
        </w:trPr>
        <w:tc>
          <w:tcPr>
            <w:tcW w:w="1664" w:type="dxa"/>
            <w:shd w:val="clear" w:color="auto" w:fill="auto"/>
          </w:tcPr>
          <w:p w14:paraId="31E560E3" w14:textId="77777777" w:rsidR="009D578C" w:rsidRPr="00884D03" w:rsidRDefault="009D578C" w:rsidP="00D75CFD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  <w:shd w:val="clear" w:color="auto" w:fill="auto"/>
          </w:tcPr>
          <w:p w14:paraId="47C2B384" w14:textId="77777777" w:rsidR="009D578C" w:rsidRPr="00884D03" w:rsidRDefault="009D578C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3" w:type="dxa"/>
            <w:shd w:val="clear" w:color="auto" w:fill="auto"/>
          </w:tcPr>
          <w:p w14:paraId="136D9AA2" w14:textId="77777777" w:rsidR="009D578C" w:rsidRPr="00884D03" w:rsidRDefault="009D578C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48" w:type="dxa"/>
          </w:tcPr>
          <w:p w14:paraId="41CEC2E6" w14:textId="77777777" w:rsidR="009D578C" w:rsidRPr="00884D03" w:rsidRDefault="009D578C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4" w:type="dxa"/>
            <w:shd w:val="clear" w:color="auto" w:fill="auto"/>
          </w:tcPr>
          <w:p w14:paraId="6ED1FDDC" w14:textId="63940D4A" w:rsidR="009D578C" w:rsidRPr="00884D03" w:rsidRDefault="009D578C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2" w:type="dxa"/>
            <w:shd w:val="clear" w:color="auto" w:fill="auto"/>
          </w:tcPr>
          <w:p w14:paraId="0904C5EE" w14:textId="77777777" w:rsidR="009D578C" w:rsidRPr="00884D03" w:rsidRDefault="009D578C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DE5C8B0" w14:textId="77777777" w:rsidR="009D578C" w:rsidRDefault="009D578C" w:rsidP="009D578C">
      <w:pPr>
        <w:rPr>
          <w:rFonts w:ascii="Book Antiqua" w:hAnsi="Book Antiqua"/>
          <w:sz w:val="28"/>
          <w:szCs w:val="28"/>
          <w:lang w:val="fr-FR"/>
        </w:rPr>
      </w:pPr>
    </w:p>
    <w:p w14:paraId="5B5EFB10" w14:textId="77777777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A906D2B" w14:textId="77777777" w:rsidR="00121352" w:rsidRPr="00D4309C" w:rsidRDefault="00121352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46912BA" w14:textId="77777777" w:rsidR="004A5814" w:rsidRDefault="004A5814" w:rsidP="008A4E7E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D94F316" w14:textId="77777777" w:rsidR="004A5814" w:rsidRPr="004A5814" w:rsidRDefault="004A5814" w:rsidP="004A5814">
      <w:pPr>
        <w:rPr>
          <w:lang w:val="fr-FR"/>
        </w:rPr>
      </w:pPr>
    </w:p>
    <w:p w14:paraId="6C4AD449" w14:textId="77777777" w:rsidR="008A4E7E" w:rsidRDefault="00B55916" w:rsidP="008A4E7E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2" w:name="_Toc30416247"/>
      <w:bookmarkStart w:id="3" w:name="_Hlk7464724"/>
      <w:r w:rsidR="008A4E7E"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2"/>
    </w:p>
    <w:p w14:paraId="5BBCBDA3" w14:textId="77777777" w:rsidR="004A5814" w:rsidRPr="004A5814" w:rsidRDefault="004A5814" w:rsidP="004A5814">
      <w:pPr>
        <w:rPr>
          <w:lang w:val="fr-FR"/>
        </w:rPr>
      </w:pPr>
    </w:p>
    <w:p w14:paraId="763E50CE" w14:textId="77777777" w:rsidR="004A5814" w:rsidRDefault="004A5814" w:rsidP="008A4E7E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3B40BF9D" w14:textId="65EC80F0" w:rsidR="008A4E7E" w:rsidRPr="00D4309C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Une révision de la Constitution s’est produite en 2013.</w:t>
      </w:r>
    </w:p>
    <w:p w14:paraId="3E03ABD3" w14:textId="05D548BF" w:rsidR="008A4E7E" w:rsidRPr="00D4309C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Une nouvelle perception de la République, plus décentralisée, a permis la réécriture des statuts d’outre-mer.</w:t>
      </w:r>
    </w:p>
    <w:p w14:paraId="2DE38390" w14:textId="03D5B6D5" w:rsidR="008A4E7E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révision des statuts d’outre-mer voulait réaffirmer l’appartenance des territoires à la République.</w:t>
      </w:r>
    </w:p>
    <w:p w14:paraId="183D33F0" w14:textId="48261FD9" w:rsidR="008A4E7E" w:rsidRPr="00D4309C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 xml:space="preserve">La distinction des « peuples d’outre-mer » et </w:t>
      </w:r>
      <w:r w:rsidR="00643669">
        <w:rPr>
          <w:rFonts w:ascii="Book Antiqua" w:hAnsi="Book Antiqua"/>
          <w:sz w:val="28"/>
          <w:szCs w:val="28"/>
          <w:lang w:val="fr-FR"/>
        </w:rPr>
        <w:t>« </w:t>
      </w:r>
      <w:r>
        <w:rPr>
          <w:rFonts w:ascii="Book Antiqua" w:hAnsi="Book Antiqua"/>
          <w:sz w:val="28"/>
          <w:szCs w:val="28"/>
          <w:lang w:val="fr-FR"/>
        </w:rPr>
        <w:t>peuple français</w:t>
      </w:r>
      <w:r w:rsidR="00643669">
        <w:rPr>
          <w:rFonts w:ascii="Book Antiqua" w:hAnsi="Book Antiqua"/>
          <w:sz w:val="28"/>
          <w:szCs w:val="28"/>
          <w:lang w:val="fr-FR"/>
        </w:rPr>
        <w:t> »</w:t>
      </w:r>
      <w:r>
        <w:rPr>
          <w:rFonts w:ascii="Book Antiqua" w:hAnsi="Book Antiqua"/>
          <w:sz w:val="28"/>
          <w:szCs w:val="28"/>
          <w:lang w:val="fr-FR"/>
        </w:rPr>
        <w:t xml:space="preserve"> continuait à être respectée.</w:t>
      </w:r>
    </w:p>
    <w:p w14:paraId="7EFE3C26" w14:textId="437BC8C8" w:rsidR="008A4E7E" w:rsidRPr="00D4309C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Saint-Martin et Wallis-et-Fortuna seraient des départements d’outre-mer.</w:t>
      </w:r>
    </w:p>
    <w:p w14:paraId="7A568652" w14:textId="2EE40504" w:rsidR="008A4E7E" w:rsidRPr="00D4309C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643669">
        <w:rPr>
          <w:rFonts w:ascii="Book Antiqua" w:hAnsi="Book Antiqua"/>
          <w:sz w:val="28"/>
          <w:szCs w:val="28"/>
          <w:lang w:val="fr-FR"/>
        </w:rPr>
        <w:t>La Martinique et la Réunion seraient de nouvelles régions d’outre-mer.</w:t>
      </w:r>
    </w:p>
    <w:p w14:paraId="646BF631" w14:textId="37990E8A" w:rsidR="008A4E7E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643669">
        <w:rPr>
          <w:rFonts w:ascii="Book Antiqua" w:hAnsi="Book Antiqua"/>
          <w:sz w:val="28"/>
          <w:szCs w:val="28"/>
          <w:lang w:val="fr-FR"/>
        </w:rPr>
        <w:t>Quelques-unes des nouvelles collectivités d’outre-mer sont Mayotte, la Polynésie française et Saint-Barthélemy.</w:t>
      </w:r>
    </w:p>
    <w:p w14:paraId="6D6239EE" w14:textId="1F7E7F2B" w:rsidR="00643669" w:rsidRPr="00D4309C" w:rsidRDefault="00643669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révision de la Constitution a instauré deux régimes législatifs pour les collectivités ultramarines sauf pour la Nouvelle-Calédonie et les Terres australes et antarctiques françaises.</w:t>
      </w:r>
    </w:p>
    <w:p w14:paraId="6C554EBA" w14:textId="0B0E73D1" w:rsidR="00643669" w:rsidRPr="00D4309C" w:rsidRDefault="00643669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L’identité législative n’accepte aucune adaptation aux territoires auxquels elle s’adresse.</w:t>
      </w:r>
    </w:p>
    <w:p w14:paraId="1FBA2BBC" w14:textId="52B010B7" w:rsidR="00643669" w:rsidRDefault="00643669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4A5814">
        <w:rPr>
          <w:rFonts w:ascii="Book Antiqua" w:hAnsi="Book Antiqua"/>
          <w:sz w:val="28"/>
          <w:szCs w:val="28"/>
          <w:lang w:val="fr-FR"/>
        </w:rPr>
        <w:t>Les COM ont une loi spécifique et les assemblées locales ont le droit à la création des règlements.</w:t>
      </w:r>
    </w:p>
    <w:p w14:paraId="477E253B" w14:textId="0AFC138E" w:rsidR="00650BAD" w:rsidRDefault="00650BAD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</w:p>
    <w:p w14:paraId="0386F014" w14:textId="77777777" w:rsidR="00650BAD" w:rsidRDefault="00650BAD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</w:p>
    <w:p w14:paraId="4DFB8005" w14:textId="77777777" w:rsidR="004A5814" w:rsidRPr="004A5814" w:rsidRDefault="004A5814" w:rsidP="004A5814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4A5814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III. </w:t>
      </w:r>
      <w:bookmarkStart w:id="4" w:name="_Toc30416245"/>
      <w:r w:rsidRPr="004A5814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4"/>
    </w:p>
    <w:p w14:paraId="446B141C" w14:textId="77777777" w:rsidR="004A5814" w:rsidRDefault="004A5814" w:rsidP="004A58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BDA1DDF" w14:textId="77777777" w:rsidR="004A5814" w:rsidRPr="00D4309C" w:rsidRDefault="004A5814" w:rsidP="004A58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9B8CCE0" w14:textId="0FE21766" w:rsidR="004A5814" w:rsidRPr="00D4309C" w:rsidRDefault="004A5814" w:rsidP="004A581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E1957">
        <w:rPr>
          <w:rFonts w:ascii="Book Antiqua" w:hAnsi="Book Antiqua" w:cs="Arial"/>
          <w:sz w:val="28"/>
          <w:szCs w:val="28"/>
          <w:lang w:val="fr-FR"/>
        </w:rPr>
        <w:t xml:space="preserve">  </w:t>
      </w:r>
      <w:r>
        <w:rPr>
          <w:rFonts w:ascii="Book Antiqua" w:hAnsi="Book Antiqua" w:cs="Arial"/>
          <w:sz w:val="28"/>
          <w:szCs w:val="28"/>
          <w:lang w:val="fr-FR"/>
        </w:rPr>
        <w:t>L’article 73 de la Constitution permettait que les départements et régions d’outre-mer puissent devenir des collectivités.</w:t>
      </w:r>
    </w:p>
    <w:p w14:paraId="7198978C" w14:textId="77777777" w:rsidR="004A5814" w:rsidRPr="00D4309C" w:rsidRDefault="004A5814" w:rsidP="004A581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5FABE77" w14:textId="42A91ACF" w:rsidR="004A5814" w:rsidRDefault="004A5814" w:rsidP="004A581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E1957">
        <w:rPr>
          <w:rFonts w:ascii="Book Antiqua" w:hAnsi="Book Antiqua" w:cs="Arial"/>
          <w:sz w:val="28"/>
          <w:szCs w:val="28"/>
          <w:lang w:val="fr-FR"/>
        </w:rPr>
        <w:t xml:space="preserve">  </w:t>
      </w:r>
      <w:r>
        <w:rPr>
          <w:rFonts w:ascii="Book Antiqua" w:hAnsi="Book Antiqua" w:cs="Arial"/>
          <w:sz w:val="28"/>
          <w:szCs w:val="28"/>
          <w:lang w:val="fr-FR"/>
        </w:rPr>
        <w:t>En 2003, La Guadeloupe et la Martinique ont changé leur statut pour devenir des collectivités.</w:t>
      </w:r>
    </w:p>
    <w:p w14:paraId="54689E36" w14:textId="77777777" w:rsidR="00CE1957" w:rsidRDefault="00CE1957" w:rsidP="00CE195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A6ED9C" w14:textId="2735D976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La Constitution n’acceptait pas de changements, une fois défini le statut de chaque collectivité.</w:t>
      </w:r>
    </w:p>
    <w:p w14:paraId="293808F9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F64652" w14:textId="2B8AE1D8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 </w:t>
      </w:r>
      <w:r>
        <w:rPr>
          <w:rFonts w:ascii="Book Antiqua" w:hAnsi="Book Antiqua" w:cs="Arial"/>
          <w:sz w:val="28"/>
          <w:szCs w:val="28"/>
          <w:lang w:val="fr-FR"/>
        </w:rPr>
        <w:t>Grâce aux dispositions de la nouvelle Constitution, les îles de Saint-Barthélemy et de Saint-Martin se sont séparées de la Guadeloupe en 2003.</w:t>
      </w:r>
    </w:p>
    <w:p w14:paraId="65BD1178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F4B106" w14:textId="0955CFE4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En 2009, la Mayotte est devenue département et région d’outre-mer.</w:t>
      </w:r>
    </w:p>
    <w:p w14:paraId="4D3ECEFD" w14:textId="77777777" w:rsidR="00CE1957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652300" w14:textId="117355EC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Les Terres australes et antarctiques françaises ont le même statut que la Guadeloupe.</w:t>
      </w:r>
    </w:p>
    <w:p w14:paraId="18152C9B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FC9722" w14:textId="14F2EB2C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La Nouvelle</w:t>
      </w:r>
      <w:r w:rsidR="00650BAD">
        <w:rPr>
          <w:rFonts w:ascii="Book Antiqua" w:hAnsi="Book Antiqua" w:cs="Arial"/>
          <w:sz w:val="28"/>
          <w:szCs w:val="28"/>
          <w:lang w:val="fr-FR"/>
        </w:rPr>
        <w:t>-</w:t>
      </w:r>
      <w:r>
        <w:rPr>
          <w:rFonts w:ascii="Book Antiqua" w:hAnsi="Book Antiqua" w:cs="Arial"/>
          <w:sz w:val="28"/>
          <w:szCs w:val="28"/>
          <w:lang w:val="fr-FR"/>
        </w:rPr>
        <w:t>Calédonie a expérimenté plusieurs statuts tout au long de son histoire.</w:t>
      </w:r>
    </w:p>
    <w:p w14:paraId="320CE212" w14:textId="77777777" w:rsidR="0046643E" w:rsidRPr="00D4309C" w:rsidRDefault="0046643E" w:rsidP="0046643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F71C7E" w14:textId="7455005D" w:rsidR="0046643E" w:rsidRPr="00D4309C" w:rsidRDefault="0046643E" w:rsidP="0046643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statut de la Polynésie française crée une autonomie administrative pour le territoire mais il n’a pas d’autonomie politique.</w:t>
      </w:r>
    </w:p>
    <w:p w14:paraId="72241C78" w14:textId="77777777" w:rsidR="00CE1957" w:rsidRPr="00D4309C" w:rsidRDefault="00CE1957" w:rsidP="0046643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1"/>
    <w:bookmarkEnd w:id="3"/>
    <w:p w14:paraId="3D4C651B" w14:textId="0B04B0B3" w:rsidR="004A5814" w:rsidRDefault="004A5814" w:rsidP="008A4E7E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sectPr w:rsidR="004A5814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39CB6" w14:textId="77777777" w:rsidR="000428E5" w:rsidRDefault="000428E5" w:rsidP="00640FB7">
      <w:r>
        <w:separator/>
      </w:r>
    </w:p>
  </w:endnote>
  <w:endnote w:type="continuationSeparator" w:id="0">
    <w:p w14:paraId="70F2B591" w14:textId="77777777" w:rsidR="000428E5" w:rsidRDefault="000428E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3A201917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F95858">
      <w:t>R</w:t>
    </w:r>
    <w:r>
      <w:t xml:space="preserve">. </w:t>
    </w:r>
    <w:r w:rsidR="00F95858">
      <w:t>Salgado</w:t>
    </w:r>
    <w:r w:rsidR="00640FB7">
      <w:t>-20</w:t>
    </w:r>
    <w:r w:rsidR="00F9585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A7C9D" w14:textId="77777777" w:rsidR="000428E5" w:rsidRDefault="000428E5" w:rsidP="00640FB7">
      <w:r>
        <w:separator/>
      </w:r>
    </w:p>
  </w:footnote>
  <w:footnote w:type="continuationSeparator" w:id="0">
    <w:p w14:paraId="044BC767" w14:textId="77777777" w:rsidR="000428E5" w:rsidRDefault="000428E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5pt;height:11.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28E5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1352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6643E"/>
    <w:rsid w:val="00471823"/>
    <w:rsid w:val="00487F11"/>
    <w:rsid w:val="004A4795"/>
    <w:rsid w:val="004A5814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43669"/>
    <w:rsid w:val="00650BAD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4E7E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D578C"/>
    <w:rsid w:val="009E03D1"/>
    <w:rsid w:val="009F19C7"/>
    <w:rsid w:val="00A177F8"/>
    <w:rsid w:val="00A24DA4"/>
    <w:rsid w:val="00A27C18"/>
    <w:rsid w:val="00A32A4E"/>
    <w:rsid w:val="00A35933"/>
    <w:rsid w:val="00A35C71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CE1957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95858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E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E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393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5</cp:revision>
  <dcterms:created xsi:type="dcterms:W3CDTF">2020-05-13T04:28:00Z</dcterms:created>
  <dcterms:modified xsi:type="dcterms:W3CDTF">2020-06-22T04:07:00Z</dcterms:modified>
</cp:coreProperties>
</file>